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691434" w:rsidRDefault="00F34473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691434">
        <w:rPr>
          <w:szCs w:val="20"/>
        </w:rPr>
        <w:t xml:space="preserve"> </w:t>
      </w:r>
      <w:r w:rsidR="005A4D59" w:rsidRPr="00691434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691434" w:rsidRDefault="005A4D59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691434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8803747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691434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691434">
        <w:rPr>
          <w:b/>
          <w:bCs/>
          <w:szCs w:val="20"/>
          <w:lang w:val="en-US"/>
        </w:rPr>
        <w:t>SMS</w:t>
      </w:r>
      <w:r w:rsidRPr="00691434">
        <w:rPr>
          <w:b/>
          <w:bCs/>
          <w:szCs w:val="20"/>
        </w:rPr>
        <w:t xml:space="preserve"> для клиентов АО "ЭнергосбыТ Плюс" – абонентов </w:t>
      </w:r>
      <w:r w:rsidR="00204841" w:rsidRPr="00691434">
        <w:rPr>
          <w:b/>
          <w:bCs/>
          <w:szCs w:val="20"/>
        </w:rPr>
        <w:t>Теле2</w:t>
      </w:r>
      <w:r w:rsidRPr="00691434">
        <w:rPr>
          <w:b/>
          <w:bCs/>
          <w:szCs w:val="20"/>
        </w:rPr>
        <w:t xml:space="preserve"> </w:t>
      </w:r>
    </w:p>
    <w:p w14:paraId="5CED8B58" w14:textId="77777777" w:rsidR="00FA6591" w:rsidRPr="00691434" w:rsidRDefault="00FA6591" w:rsidP="00691434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691434" w:rsidRDefault="00F34473" w:rsidP="00691434">
      <w:pPr>
        <w:pStyle w:val="1"/>
        <w:spacing w:after="0" w:line="240" w:lineRule="auto"/>
        <w:ind w:left="578" w:right="361" w:hanging="223"/>
        <w:rPr>
          <w:szCs w:val="20"/>
        </w:rPr>
      </w:pPr>
      <w:r w:rsidRPr="00691434">
        <w:rPr>
          <w:szCs w:val="20"/>
        </w:rPr>
        <w:t xml:space="preserve">ОБЩИЕ ПОЛОЖЕНИЯ </w:t>
      </w:r>
    </w:p>
    <w:p w14:paraId="5EE6DE8A" w14:textId="595EF552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691434">
        <w:rPr>
          <w:color w:val="auto"/>
          <w:szCs w:val="20"/>
        </w:rPr>
        <w:t>адолженности через канал SMS</w:t>
      </w:r>
      <w:r w:rsidR="00EF3208" w:rsidRPr="00691434">
        <w:rPr>
          <w:color w:val="auto"/>
          <w:szCs w:val="20"/>
        </w:rPr>
        <w:t xml:space="preserve"> </w:t>
      </w:r>
      <w:r w:rsidR="00306EBA" w:rsidRPr="00691434">
        <w:rPr>
          <w:color w:val="auto"/>
          <w:szCs w:val="20"/>
        </w:rPr>
        <w:t xml:space="preserve">в адрес клиентов </w:t>
      </w:r>
      <w:r w:rsidRPr="00691434">
        <w:rPr>
          <w:color w:val="auto"/>
          <w:szCs w:val="20"/>
        </w:rPr>
        <w:t>АО "ЭнергосбыТ Плюс" (по России)</w:t>
      </w:r>
      <w:r w:rsidR="009E0230" w:rsidRPr="00691434">
        <w:rPr>
          <w:color w:val="auto"/>
          <w:szCs w:val="20"/>
        </w:rPr>
        <w:t>, являющихся абонентами</w:t>
      </w:r>
      <w:r w:rsidR="00681F6C" w:rsidRPr="00691434">
        <w:rPr>
          <w:color w:val="auto"/>
          <w:szCs w:val="20"/>
        </w:rPr>
        <w:t xml:space="preserve"> </w:t>
      </w:r>
      <w:r w:rsidR="00204841" w:rsidRPr="00691434">
        <w:rPr>
          <w:color w:val="auto"/>
          <w:szCs w:val="20"/>
        </w:rPr>
        <w:t>Теле2</w:t>
      </w:r>
      <w:r w:rsidRPr="00691434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691434">
        <w:rPr>
          <w:color w:val="auto"/>
          <w:szCs w:val="20"/>
        </w:rPr>
        <w:t xml:space="preserve">, в </w:t>
      </w:r>
      <w:proofErr w:type="spellStart"/>
      <w:r w:rsidR="004F4ECF" w:rsidRPr="00691434">
        <w:rPr>
          <w:color w:val="auto"/>
          <w:szCs w:val="20"/>
        </w:rPr>
        <w:t>т.ч</w:t>
      </w:r>
      <w:proofErr w:type="spellEnd"/>
      <w:r w:rsidR="004F4ECF" w:rsidRPr="00691434">
        <w:rPr>
          <w:color w:val="auto"/>
          <w:szCs w:val="20"/>
        </w:rPr>
        <w:t>. через API</w:t>
      </w:r>
      <w:r w:rsidRPr="00691434">
        <w:rPr>
          <w:color w:val="auto"/>
          <w:szCs w:val="20"/>
        </w:rPr>
        <w:t xml:space="preserve">. </w:t>
      </w:r>
    </w:p>
    <w:p w14:paraId="30F89AF2" w14:textId="3D2D82DD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691434">
        <w:rPr>
          <w:color w:val="auto"/>
          <w:szCs w:val="20"/>
        </w:rPr>
        <w:t>Мск</w:t>
      </w:r>
      <w:proofErr w:type="spellEnd"/>
      <w:r w:rsidRPr="00691434">
        <w:rPr>
          <w:color w:val="auto"/>
          <w:szCs w:val="20"/>
        </w:rPr>
        <w:t xml:space="preserve">. </w:t>
      </w:r>
      <w:r w:rsidR="0079648D" w:rsidRPr="00691434">
        <w:rPr>
          <w:color w:val="auto"/>
          <w:szCs w:val="20"/>
        </w:rPr>
        <w:t xml:space="preserve">Возможность </w:t>
      </w:r>
      <w:r w:rsidRPr="00691434">
        <w:rPr>
          <w:color w:val="auto"/>
          <w:szCs w:val="20"/>
        </w:rPr>
        <w:t>получени</w:t>
      </w:r>
      <w:r w:rsidR="0079648D" w:rsidRPr="00691434">
        <w:rPr>
          <w:color w:val="auto"/>
          <w:szCs w:val="20"/>
        </w:rPr>
        <w:t>я</w:t>
      </w:r>
      <w:r w:rsidRPr="00691434">
        <w:rPr>
          <w:color w:val="auto"/>
          <w:szCs w:val="20"/>
        </w:rPr>
        <w:t xml:space="preserve"> статусов </w:t>
      </w:r>
      <w:r w:rsidR="0079648D" w:rsidRPr="00691434">
        <w:rPr>
          <w:color w:val="auto"/>
          <w:szCs w:val="20"/>
        </w:rPr>
        <w:t xml:space="preserve">сообщений </w:t>
      </w:r>
      <w:r w:rsidR="005A4D59" w:rsidRPr="00691434">
        <w:rPr>
          <w:color w:val="auto"/>
          <w:szCs w:val="20"/>
        </w:rPr>
        <w:t>–</w:t>
      </w:r>
      <w:r w:rsidR="0079648D" w:rsidRPr="00691434">
        <w:rPr>
          <w:color w:val="auto"/>
          <w:szCs w:val="20"/>
        </w:rPr>
        <w:t xml:space="preserve"> </w:t>
      </w:r>
      <w:r w:rsidRPr="00691434">
        <w:rPr>
          <w:color w:val="auto"/>
          <w:szCs w:val="20"/>
        </w:rPr>
        <w:t>ежедневно, круглосуточно</w:t>
      </w:r>
      <w:r w:rsidR="004F4ECF" w:rsidRPr="00691434">
        <w:rPr>
          <w:color w:val="auto"/>
          <w:szCs w:val="20"/>
        </w:rPr>
        <w:t>.</w:t>
      </w:r>
      <w:r w:rsidRPr="00691434">
        <w:rPr>
          <w:color w:val="auto"/>
          <w:szCs w:val="20"/>
        </w:rPr>
        <w:t xml:space="preserve"> </w:t>
      </w:r>
    </w:p>
    <w:p w14:paraId="22A3D047" w14:textId="667F018D" w:rsidR="00FA6591" w:rsidRPr="00691434" w:rsidRDefault="005A4D59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Сроки действия договора: </w:t>
      </w:r>
      <w:r w:rsidR="000933A2" w:rsidRPr="00691434">
        <w:rPr>
          <w:rFonts w:eastAsia="Times New Roman"/>
          <w:color w:val="auto"/>
          <w:szCs w:val="20"/>
        </w:rPr>
        <w:t>с даты заключения Договора до 31.12.2024</w:t>
      </w:r>
      <w:r w:rsidR="00F34473" w:rsidRPr="00691434">
        <w:rPr>
          <w:color w:val="auto"/>
          <w:szCs w:val="20"/>
        </w:rPr>
        <w:t xml:space="preserve">. </w:t>
      </w:r>
    </w:p>
    <w:p w14:paraId="344BFCEA" w14:textId="45C46FA6" w:rsidR="00FA6591" w:rsidRPr="00691434" w:rsidRDefault="00FA6591" w:rsidP="0069143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691434" w:rsidRDefault="00F34473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32A68F2E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ACFAE1B" w14:textId="77777777" w:rsidR="000933A2" w:rsidRPr="00691434" w:rsidRDefault="000933A2" w:rsidP="0069143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C5705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4188069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A72720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338D4AD7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E7CDA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26E467E9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23732E83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125DCBCD" w14:textId="321FC8E8" w:rsidR="007C7B50" w:rsidRPr="00691434" w:rsidRDefault="007C7B50" w:rsidP="0069143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54400A7" w14:textId="77777777" w:rsidR="000933A2" w:rsidRPr="00691434" w:rsidRDefault="000933A2" w:rsidP="0069143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4CD9F66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60CE0735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5AF774E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624C133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1B8ADEC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39916D6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B1F04F4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35E1064A" w:rsidR="00DF64A7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691434">
        <w:rPr>
          <w:color w:val="auto"/>
          <w:szCs w:val="20"/>
        </w:rPr>
        <w:t xml:space="preserve">. </w:t>
      </w:r>
    </w:p>
    <w:p w14:paraId="098218A2" w14:textId="77777777" w:rsidR="004409E1" w:rsidRPr="00691434" w:rsidRDefault="004409E1" w:rsidP="0069143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454FA065" w14:textId="353429FF" w:rsidR="00FA6591" w:rsidRPr="00691434" w:rsidRDefault="00FA6591" w:rsidP="0069143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169902FF" w14:textId="0E09497F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60381CD4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</w:t>
      </w:r>
      <w:r w:rsidR="00C02898" w:rsidRPr="00691434">
        <w:rPr>
          <w:szCs w:val="20"/>
        </w:rPr>
        <w:t>сти системы межсетевым экраном.</w:t>
      </w:r>
    </w:p>
    <w:p w14:paraId="4537A480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</w:t>
      </w:r>
      <w:r w:rsidR="00C02898" w:rsidRPr="00691434">
        <w:rPr>
          <w:szCs w:val="20"/>
        </w:rPr>
        <w:t>жения.</w:t>
      </w:r>
    </w:p>
    <w:p w14:paraId="4E871997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</w:t>
      </w:r>
      <w:r w:rsidR="00C02898" w:rsidRPr="00691434">
        <w:rPr>
          <w:szCs w:val="20"/>
        </w:rPr>
        <w:t>живает рекомендуемые стандарты.</w:t>
      </w:r>
    </w:p>
    <w:p w14:paraId="1C29F35C" w14:textId="1ADE17E3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</w:t>
      </w:r>
      <w:r w:rsidR="00C02898" w:rsidRPr="00691434">
        <w:rPr>
          <w:szCs w:val="20"/>
        </w:rPr>
        <w:t>ым удостоверяющим центром (CA).</w:t>
      </w:r>
    </w:p>
    <w:p w14:paraId="79EBC801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В приложении реализован SSL </w:t>
      </w:r>
      <w:proofErr w:type="spellStart"/>
      <w:r w:rsidRPr="00691434">
        <w:rPr>
          <w:szCs w:val="20"/>
        </w:rPr>
        <w:t>pinning</w:t>
      </w:r>
      <w:proofErr w:type="spellEnd"/>
      <w:r w:rsidRPr="00691434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</w:t>
      </w:r>
      <w:r w:rsidR="00C02898" w:rsidRPr="00691434">
        <w:rPr>
          <w:szCs w:val="20"/>
        </w:rPr>
        <w:t>икации (CA) не устанавливается.</w:t>
      </w:r>
    </w:p>
    <w:p w14:paraId="043C6C5F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</w:t>
      </w:r>
      <w:r w:rsidR="00C02898" w:rsidRPr="00691434">
        <w:rPr>
          <w:szCs w:val="20"/>
        </w:rPr>
        <w:t>ация и восстановление аккаунта.</w:t>
      </w:r>
    </w:p>
    <w:p w14:paraId="6485E7DF" w14:textId="0D332FA8" w:rsidR="007C7B50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15553527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7BEC8DE1" w14:textId="5D5FE835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 w:rsidR="007F22BF">
        <w:rPr>
          <w:color w:val="auto"/>
          <w:szCs w:val="20"/>
        </w:rPr>
        <w:t>Щ</w:t>
      </w:r>
      <w:bookmarkStart w:id="0" w:name="_GoBack"/>
      <w:bookmarkEnd w:id="0"/>
      <w:r w:rsidRPr="00691434">
        <w:rPr>
          <w:color w:val="auto"/>
          <w:szCs w:val="20"/>
        </w:rPr>
        <w:t>ИТЕ СОЕДИНЕНИЙ</w:t>
      </w:r>
    </w:p>
    <w:p w14:paraId="093AA451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</w:t>
      </w:r>
      <w:r w:rsidR="00C02898" w:rsidRPr="00691434">
        <w:rPr>
          <w:szCs w:val="20"/>
        </w:rPr>
        <w:t xml:space="preserve"> через TLS версии не ниже 1.2.</w:t>
      </w:r>
    </w:p>
    <w:p w14:paraId="27396C06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</w:t>
      </w:r>
      <w:r w:rsidR="00C02898" w:rsidRPr="00691434">
        <w:rPr>
          <w:szCs w:val="20"/>
        </w:rPr>
        <w:t>ort-security</w:t>
      </w:r>
      <w:proofErr w:type="spellEnd"/>
      <w:r w:rsidR="00C02898" w:rsidRPr="00691434">
        <w:rPr>
          <w:szCs w:val="20"/>
        </w:rPr>
        <w:t xml:space="preserve"> (HSTS) заголовки.</w:t>
      </w:r>
    </w:p>
    <w:p w14:paraId="7D0B3DF9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="00C02898" w:rsidRPr="00691434">
        <w:rPr>
          <w:szCs w:val="20"/>
        </w:rPr>
        <w:t xml:space="preserve"> и ограничены путем и доменом.</w:t>
      </w:r>
    </w:p>
    <w:p w14:paraId="5806114C" w14:textId="1CFAF5AA" w:rsidR="007C7B50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4B635D72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3C5D4531" w14:textId="001D37A6" w:rsidR="00D20597" w:rsidRPr="00691434" w:rsidRDefault="00D20597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61342D49" w14:textId="3920330C" w:rsidR="00D20597" w:rsidRPr="00691434" w:rsidRDefault="007C7B50" w:rsidP="00691434">
      <w:pPr>
        <w:spacing w:after="0" w:line="240" w:lineRule="auto"/>
        <w:rPr>
          <w:szCs w:val="20"/>
        </w:rPr>
      </w:pPr>
      <w:r w:rsidRPr="00691434">
        <w:rPr>
          <w:szCs w:val="20"/>
        </w:rPr>
        <w:t>5</w:t>
      </w:r>
      <w:r w:rsidR="00D20597" w:rsidRPr="00691434">
        <w:rPr>
          <w:szCs w:val="20"/>
        </w:rPr>
        <w:t>.1. Наличие собственной службы технической поддержки.</w:t>
      </w:r>
    </w:p>
    <w:p w14:paraId="29E7CAD6" w14:textId="77777777" w:rsidR="00D20597" w:rsidRPr="00691434" w:rsidRDefault="00D20597" w:rsidP="00691434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3312BE9A" w14:textId="77777777" w:rsidR="000D0EB8" w:rsidRPr="00691434" w:rsidRDefault="000D0EB8" w:rsidP="00691434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ПОДДЕРЖКЕ</w:t>
      </w:r>
      <w:r w:rsidRPr="00691434">
        <w:rPr>
          <w:b w:val="0"/>
          <w:color w:val="auto"/>
          <w:szCs w:val="20"/>
        </w:rPr>
        <w:t xml:space="preserve"> </w:t>
      </w:r>
    </w:p>
    <w:p w14:paraId="7126D7AF" w14:textId="57F9BB11" w:rsidR="000D0EB8" w:rsidRPr="00691434" w:rsidRDefault="007C7B50" w:rsidP="0069143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691434">
        <w:rPr>
          <w:rFonts w:eastAsia="Times New Roman"/>
          <w:szCs w:val="20"/>
        </w:rPr>
        <w:t xml:space="preserve"> </w:t>
      </w:r>
      <w:r w:rsidR="000D0EB8"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691434" w:rsidRDefault="000D0EB8" w:rsidP="0069143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691434">
        <w:rPr>
          <w:color w:val="auto"/>
          <w:szCs w:val="20"/>
        </w:rPr>
        <w:t xml:space="preserve">. </w:t>
      </w:r>
    </w:p>
    <w:p w14:paraId="5F5DDA96" w14:textId="77777777" w:rsidR="00FA6591" w:rsidRPr="00691434" w:rsidRDefault="00F34473" w:rsidP="0069143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p w14:paraId="2E9797F1" w14:textId="77777777" w:rsidR="00FA6591" w:rsidRPr="00691434" w:rsidRDefault="00FA6591" w:rsidP="00691434">
      <w:pPr>
        <w:spacing w:after="0" w:line="240" w:lineRule="auto"/>
        <w:ind w:right="-15"/>
        <w:jc w:val="right"/>
        <w:rPr>
          <w:szCs w:val="20"/>
        </w:rPr>
      </w:pPr>
    </w:p>
    <w:sectPr w:rsidR="00FA6591" w:rsidRPr="00691434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BA3"/>
    <w:multiLevelType w:val="multilevel"/>
    <w:tmpl w:val="4C2CA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842583"/>
    <w:multiLevelType w:val="multilevel"/>
    <w:tmpl w:val="AFC48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47D71"/>
    <w:multiLevelType w:val="hybridMultilevel"/>
    <w:tmpl w:val="6AE69126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D13348"/>
    <w:multiLevelType w:val="hybridMultilevel"/>
    <w:tmpl w:val="3CC4879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8340F5"/>
    <w:multiLevelType w:val="multilevel"/>
    <w:tmpl w:val="7D1E4F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7"/>
  </w:num>
  <w:num w:numId="5">
    <w:abstractNumId w:val="3"/>
  </w:num>
  <w:num w:numId="6">
    <w:abstractNumId w:val="13"/>
  </w:num>
  <w:num w:numId="7">
    <w:abstractNumId w:val="2"/>
  </w:num>
  <w:num w:numId="8">
    <w:abstractNumId w:val="18"/>
  </w:num>
  <w:num w:numId="9">
    <w:abstractNumId w:val="17"/>
  </w:num>
  <w:num w:numId="10">
    <w:abstractNumId w:val="19"/>
  </w:num>
  <w:num w:numId="11">
    <w:abstractNumId w:val="16"/>
  </w:num>
  <w:num w:numId="12">
    <w:abstractNumId w:val="14"/>
  </w:num>
  <w:num w:numId="13">
    <w:abstractNumId w:val="10"/>
  </w:num>
  <w:num w:numId="14">
    <w:abstractNumId w:val="3"/>
    <w:lvlOverride w:ilvl="0">
      <w:startOverride w:val="1"/>
    </w:lvlOverride>
  </w:num>
  <w:num w:numId="15">
    <w:abstractNumId w:val="3"/>
  </w:num>
  <w:num w:numId="16">
    <w:abstractNumId w:val="3"/>
  </w:num>
  <w:num w:numId="17">
    <w:abstractNumId w:val="15"/>
  </w:num>
  <w:num w:numId="18">
    <w:abstractNumId w:val="4"/>
  </w:num>
  <w:num w:numId="19">
    <w:abstractNumId w:val="12"/>
  </w:num>
  <w:num w:numId="20">
    <w:abstractNumId w:val="1"/>
  </w:num>
  <w:num w:numId="21">
    <w:abstractNumId w:val="9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933A2"/>
    <w:rsid w:val="000D0EB8"/>
    <w:rsid w:val="00153DE6"/>
    <w:rsid w:val="001603AF"/>
    <w:rsid w:val="00191E31"/>
    <w:rsid w:val="0020484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409E1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538A1"/>
    <w:rsid w:val="006646B5"/>
    <w:rsid w:val="00681F6C"/>
    <w:rsid w:val="006866EE"/>
    <w:rsid w:val="00691434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C35E4"/>
    <w:rsid w:val="007C7B50"/>
    <w:rsid w:val="007E5742"/>
    <w:rsid w:val="007E799A"/>
    <w:rsid w:val="007F22BF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B4EDE"/>
    <w:rsid w:val="00AC5A3C"/>
    <w:rsid w:val="00AC6483"/>
    <w:rsid w:val="00B25F9D"/>
    <w:rsid w:val="00B60333"/>
    <w:rsid w:val="00BC22DE"/>
    <w:rsid w:val="00BE7039"/>
    <w:rsid w:val="00BF1CC4"/>
    <w:rsid w:val="00BF7769"/>
    <w:rsid w:val="00C02898"/>
    <w:rsid w:val="00C10ABE"/>
    <w:rsid w:val="00C24F4F"/>
    <w:rsid w:val="00C50112"/>
    <w:rsid w:val="00C8550C"/>
    <w:rsid w:val="00C87C46"/>
    <w:rsid w:val="00CA3ED1"/>
    <w:rsid w:val="00D03073"/>
    <w:rsid w:val="00D10CFC"/>
    <w:rsid w:val="00D20597"/>
    <w:rsid w:val="00D455DF"/>
    <w:rsid w:val="00D82FBB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440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32</cp:revision>
  <cp:lastPrinted>2022-03-01T05:58:00Z</cp:lastPrinted>
  <dcterms:created xsi:type="dcterms:W3CDTF">2022-11-30T07:15:00Z</dcterms:created>
  <dcterms:modified xsi:type="dcterms:W3CDTF">2024-03-06T10:46:00Z</dcterms:modified>
</cp:coreProperties>
</file>